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PR 15 (15 metros)PR 20 (20 metros)"/>
                  <a:graphic>
                    <a:graphicData uri="http://schemas.openxmlformats.org/drawingml/2006/picture">
                      <pic:pic>
                        <pic:nvPicPr>
                          <pic:cNvPr id="0" name="PR 15 (15 metros)PR 20 (20 metros)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PR 15 (15 metros)PR 20 (20 metros)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BIE45PR15 / BIE45PR20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510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de configuración horizontal y reversible.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Altura= 480, Ancho= 600, Fondo= 155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Fabricado en chapa de Acero de Espesor 1,2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 con VISOR en ABS.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 fabricada en chapa de Acero.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Pintado con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Color opcional RAL 9010.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Cerradura Glide reversible con moldura y precinto de seguridad.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Devanadera Ø380 mm en termoplástico copolímero según ISO 4892-2. 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 entradas de alimentación.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Lanza Triplex de triple efecto. Rosca hembra 1 ½” (Ø 13 mm.).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15 o 20 m. manguera sintética de Ø 45 mm. (Según versión)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asiento angular Ø 45 mm. en latón cromado, cierre vulcanizado.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Manómetro escala 0 - 16 kg./cm2.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Racores Barcelona de 45 mm. según norma UNE 23400 "uso ligero". (Certificado por AENOR, según norma UNE 23400)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(*) Resistencia UV exposición a fuentes luminosas de arco de Xenón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Devanadera LIGERA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GLIDE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https://imercat.com/producto/pr-15-15-metrospr-20-20-metros/.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