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ENV 15 (15 metros)ENV 20 (20 metros)"/>
                  <a:graphic>
                    <a:graphicData uri="http://schemas.openxmlformats.org/drawingml/2006/picture">
                      <pic:pic>
                        <pic:nvPicPr>
                          <pic:cNvPr id="0" name="ENV 15 (15 metros)ENV 20 (20 metros)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ENV 15 (15 metros)ENV 20 (20 metros)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BIE45ENV15 / BIE45ENV20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ENV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de configuración vertical y reversible.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Altura= 680, Ancho= 430, Fondo= 150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Fabricado en chapa de Acero.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encastrada “CIEGA” conformado Multiblend.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 fabricada en chapa de Acero.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Pintado con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Color opcional RAL 9010.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Cerradura Glide reversible con precinto de seguridad.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Devanadera Ø380 mm en termoplástico copolímero según ISO 4892-2. (*)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Abatimiento de devanadera con la apertura de la puerta.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 entradas de alimentación.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Lanza Triplex de triple efecto. Rosca hembra 1 ½” (Ø 13 mm.).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15 o 20 m. manguera sintética de Ø 45 mm. (Según versión)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asiento angular Ø 45 mm. en latón.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Manómetro escala 0 - 16 kg./cm2.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Racores Barcelona de 45 mm. según norma UNE 23400 "uso ligero". (Certificado por AENOR, según norma UNE 23400)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(*) Resistencia UV exposición a fuentes luminosas de arco de Xenón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AENOR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Devanadera LIGERA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GLIDE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Multiblend</w:t>
            </w: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https://imercat.com/producto/env-15-15-metrosenv-20-20-metros/.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