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body>
    <w:tbl>
      <w:tblPr>
        <w:tblW w:w="102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00"/>
        <w:gridCol w:w="5406"/>
      </w:tblGrid>
      <w:tr>
        <w:tc>
          <w:tcPr>
            <w:tcW w:w="4800" w:type="dxa"/>
            <w:tcMar>
              <w:right w:w="24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drawing>
                <wp:inline distT="0" distB="0" distL="0" distR="0">
                  <wp:extent cx="2895600" cy="2895600"/>
                  <wp:docPr id="3" name="Hidrantes con carrete y cierre independientes"/>
                  <a:graphic>
                    <a:graphicData uri="http://schemas.openxmlformats.org/drawingml/2006/picture">
                      <pic:pic>
                        <pic:nvPicPr>
                          <pic:cNvPr id="0" name="Hidrantes con carrete y cierre independientes"/>
                          <pic:cNvPicPr/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5600" cy="289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6" w:type="dxa"/>
            <w:tcBorders>
              <w:left w:val="single" w:sz="6" w:space="0" w:color="D9D9D9"/>
            </w:tcBorders>
            <w:tcMar>
              <w:left w:w="400" w:type="dxa"/>
            </w:tcMar>
            <w:vAlign w:val="center"/>
          </w:tcPr>
          <w:p>
            <w:pPr>
              <w:spacing w:before="0" w:after="200" w:line="264" w:lineRule="auto"/>
            </w:pPr>
            <w:r>
              <w:rPr>
                <w:rFonts w:ascii="Arial" w:hAnsi="Arial" w:eastAsia="Arial" w:cs="Arial"/>
                <w:b/>
                <w:bCs/>
                <w:color w:val="A41B24"/>
                <w:sz w:val="36"/>
                <w:szCs w:val="36"/>
              </w:rPr>
              <w:t xml:space="preserve">Hidrantes con carrete y cierre independientes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GRUPO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Casetas intemperie / hidrantes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FAMILIA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Hidrantes</w:t>
            </w:r>
          </w:p>
        </w:tc>
      </w:tr>
    </w:tbl>
    <w:p>
      <w:pPr>
        <w:keepNext/>
        <w:pBdr>
          <w:bottom w:val="single" w:sz="4" w:space="4" w:color="D9D9D9"/>
        </w:pBdr>
        <w:spacing w:before="320" w:after="140" w:line="264" w:lineRule="auto"/>
      </w:pPr>
      <w:r>
        <w:rPr>
          <w:rFonts w:ascii="Arial" w:hAnsi="Arial" w:eastAsia="Arial" w:cs="Arial"/>
          <w:b/>
          <w:bCs/>
          <w:color w:val="A41B24"/>
          <w:sz w:val="22"/>
          <w:szCs w:val="22"/>
        </w:rPr>
        <w:t xml:space="preserve">DATOS TÉCNICOS</w:t>
      </w:r>
    </w:p>
    <w:tbl>
      <w:tblPr>
        <w:tblW w:w="10206" w:type="dxa"/>
        <w:tblBorders>
          <w:top w:val="single" w:sz="4" w:color="D9D9D9"/>
          <w:bottom w:val="single" w:sz="4" w:color="D9D9D9"/>
          <w:insideH w:val="single" w:sz="4" w:color="D9D9D9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551"/>
        <w:gridCol w:w="2551"/>
        <w:gridCol w:w="2551"/>
        <w:gridCol w:w="2551"/>
      </w:tblGrid>
      <w:tr>
        <w:trPr>
          <w:tblHeader/>
        </w:trPr>
        <w:tc>
          <w:tcPr>
            <w:tcW w:w="2551" w:type="dxa"/>
            <w:shd w:val="clear" w:color="auto" w:fill="A41B24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b/>
                <w:bCs/>
                <w:color w:val="FFFFFF"/>
                <w:sz w:val="16"/>
                <w:szCs w:val="16"/>
              </w:rPr>
              <w:t xml:space="preserve">DN</w:t>
            </w:r>
          </w:p>
        </w:tc>
        <w:tc>
          <w:tcPr>
            <w:tcW w:w="2551" w:type="dxa"/>
            <w:shd w:val="clear" w:color="auto" w:fill="A41B24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b/>
                <w:bCs/>
                <w:color w:val="FFFFFF"/>
                <w:sz w:val="16"/>
                <w:szCs w:val="16"/>
              </w:rPr>
              <w:t xml:space="preserve">Versión</w:t>
            </w:r>
          </w:p>
        </w:tc>
        <w:tc>
          <w:tcPr>
            <w:tcW w:w="2551" w:type="dxa"/>
            <w:shd w:val="clear" w:color="auto" w:fill="A41B24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b/>
                <w:bCs/>
                <w:color w:val="FFFFFF"/>
                <w:sz w:val="16"/>
                <w:szCs w:val="16"/>
              </w:rPr>
              <w:t xml:space="preserve">Salidas</w:t>
            </w:r>
          </w:p>
        </w:tc>
        <w:tc>
          <w:tcPr>
            <w:tcW w:w="2551" w:type="dxa"/>
            <w:shd w:val="clear" w:color="auto" w:fill="A41B24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b/>
                <w:bCs/>
                <w:color w:val="FFFFFF"/>
                <w:sz w:val="16"/>
                <w:szCs w:val="16"/>
              </w:rPr>
              <w:t xml:space="preserve">REF.</w:t>
            </w:r>
          </w:p>
        </w:tc>
      </w:tr>
      <w:tr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3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Tipo recto. Profundidad 490 mm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2 x 45 (Barcelona) 1 x 70 (Barcelona)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HTFR1</w:t>
            </w:r>
          </w:p>
        </w:tc>
      </w:tr>
      <w:tr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3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Tipo recto. Profundidad 640 mm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2 x 45 (Barcelona) 1 x 70 (Barcelona)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HTFR2</w:t>
            </w:r>
          </w:p>
        </w:tc>
      </w:tr>
      <w:tr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4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Tipo recto. Profundidad 490 mm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2 x 70 (Barcelona) 1 x 100 (Bombero)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HTFR3</w:t>
            </w:r>
          </w:p>
        </w:tc>
      </w:tr>
      <w:tr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4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Tipo recto. Profundidad 640 mm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2 x 70 (Barcelona) 1 x 100 (Bombero)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HTFR4</w:t>
            </w:r>
          </w:p>
        </w:tc>
      </w:tr>
      <w:tr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6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Tipo recto. Profundidad 490 mm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2 x 70 (Barcelona) 1 x 100 (Bombero)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HTFR5</w:t>
            </w:r>
          </w:p>
        </w:tc>
      </w:tr>
      <w:tr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6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Tipo recto. Profundidad 640 mm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2 x 70 (Barcelona) 1 x 100 (Bombero)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HTFR6</w:t>
            </w:r>
          </w:p>
        </w:tc>
      </w:tr>
      <w:tr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3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Tipo curvo. Profundidad 685 mm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2 x 45 (Barcelona) 1 x 70 (Barcelona)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HTFC1</w:t>
            </w:r>
          </w:p>
        </w:tc>
      </w:tr>
      <w:tr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3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tipo curvo. Profundidad 835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2 x 45 (Barcelona) 1 x 70 (Barcelona)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HTFC2</w:t>
            </w:r>
          </w:p>
        </w:tc>
      </w:tr>
      <w:tr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4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Tipo curvo. Profundidad 685 mm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2 x 70 (Barcelona) 1 x 100 (Bombero)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HTFC3</w:t>
            </w:r>
          </w:p>
        </w:tc>
      </w:tr>
      <w:tr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4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Tipo curvo. Profundidad 835 mm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2 x 70 (Barcelona) 1 x 100 (Bombero)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HTFC4</w:t>
            </w:r>
          </w:p>
        </w:tc>
      </w:tr>
      <w:tr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6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Tipo curvo. Profundidad 685 mm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2 x 70 (Barcelona) 1 x 100 (Bombero)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HTFC5</w:t>
            </w:r>
          </w:p>
        </w:tc>
      </w:tr>
      <w:tr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6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Tipo curvo. Profundidad 835 mm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2 x 70 (Barcelona) 1 x 100 (Bombero)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HTFC6</w:t>
            </w:r>
          </w:p>
        </w:tc>
      </w:tr>
      <w:tr>
        <w:tc>
          <w:tcPr>
            <w:tcW w:w="10204" w:type="dxa"/>
            <w:gridSpan w:val="4"/>
            <w:shd w:val="clear" w:color="auto" w:fill="F2F2F2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7"/>
                <w:szCs w:val="17"/>
              </w:rPr>
              <w:t xml:space="preserve">Racores y tapones DN45 y DN70 certificados por AENOR según Norma UNE 23400</w:t>
            </w:r>
          </w:p>
        </w:tc>
      </w:tr>
    </w:tbl>
    <w:p>
      <w:pPr>
        <w:keepNext/>
        <w:pBdr>
          <w:bottom w:val="single" w:sz="4" w:space="4" w:color="D9D9D9"/>
        </w:pBdr>
        <w:spacing w:before="320" w:after="140" w:line="264" w:lineRule="auto"/>
      </w:pPr>
      <w:r>
        <w:rPr>
          <w:rFonts w:ascii="Arial" w:hAnsi="Arial" w:eastAsia="Arial" w:cs="Arial"/>
          <w:b/>
          <w:bCs/>
          <w:color w:val="A41B24"/>
          <w:sz w:val="22"/>
          <w:szCs w:val="22"/>
        </w:rPr>
        <w:t xml:space="preserve">CARACTERÍSTICAS</w:t>
      </w:r>
    </w:p>
    <w:tbl>
      <w:tblPr>
        <w:tblW w:w="10206" w:type="dxa"/>
        <w:tblBorders>
          <w:bottom w:val="single" w:sz="4" w:color="EEEEEE"/>
          <w:insideH w:val="single" w:sz="4" w:color="EEEEEE"/>
        </w:tblBorders>
        <w:tblLayout w:type="fixed"/>
        <w:tblCellMar>
          <w:top w:w="50" w:type="dxa"/>
          <w:left w:w="0" w:type="dxa"/>
          <w:bottom w:w="50" w:type="dxa"/>
          <w:right w:w="120" w:type="dxa"/>
        </w:tblCellMar>
      </w:tblPr>
      <w:tblGrid>
        <w:gridCol w:w="3402"/>
        <w:gridCol w:w="3402"/>
        <w:gridCol w:w="3402"/>
      </w:tblGrid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CE</w:t>
            </w:r>
          </w:p>
        </w:tc>
        <w:tc>
          <w:tcPr>
            <w:tcW w:w="3402" w:type="dxa"/>
          </w:tcPr>
          <w:p>
            <w:pPr>
              <w:spacing w:before="0" w:after="0"/>
            </w:pPr>
          </w:p>
        </w:tc>
        <w:tc>
          <w:tcPr>
            <w:tcW w:w="3402" w:type="dxa"/>
          </w:tcPr>
          <w:p>
            <w:pPr>
              <w:spacing w:before="0" w:after="0"/>
            </w:pPr>
          </w:p>
        </w:tc>
      </w:tr>
    </w:tbl>
    <w:p>
      <w:pPr>
        <w:spacing w:before="120" w:after="0" w:line="264" w:lineRule="auto"/>
      </w:pPr>
      <w:r>
        <w:rPr>
          <w:rFonts w:ascii="Arial" w:hAnsi="Arial" w:eastAsia="Arial" w:cs="Arial"/>
          <w:color w:val="777777"/>
          <w:sz w:val="15"/>
          <w:szCs w:val="15"/>
        </w:rPr>
        <w:t xml:space="preserve">Ficha generada el 3 de noviembre de 2026. Información actualizada en https://imercat.com/producto/hidrantes-con-carrete-y-cierre-independientes/.</w:t>
      </w:r>
    </w:p>
    <w:sectPr>
      <w:headerReference w:type="default" r:id="rId1"/>
      <w:footerReference w:type="default" r:id="rId2"/>
      <w:pgSz w:w="11906" w:h="16838"/>
      <w:pgMar w:top="1417" w:right="850" w:bottom="1417" w:left="850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top w:val="single" w:sz="4" w:space="6" w:color="D9D9D9"/>
      </w:pBdr>
      <w:tabs>
        <w:tab w:val="right" w:pos="10206"/>
      </w:tabs>
      <w:spacing w:before="0" w:after="0"/>
    </w:pPr>
    <w:r>
      <w:drawing>
        <wp:inline distT="0" distB="0" distL="0" distR="0">
          <wp:extent cx="876300" cy="266700"/>
          <wp:docPr id="2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76300" cy="266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color w:val="666666"/>
        <w:sz w:val="15"/>
        <w:szCs w:val="15"/>
      </w:rPr>
      <w:t xml:space="preserve">https://imercat.com · eaci@eaci.es</w:t>
    </w:r>
  </w:p>
</w:ftr>
</file>

<file path=word/header1.xml><?xml version="1.0" encoding="utf-8"?>
<w:hd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bottom w:val="single" w:sz="12" w:space="6" w:color="A41B24"/>
      </w:pBdr>
      <w:tabs>
        <w:tab w:val="right" w:pos="10206"/>
      </w:tabs>
      <w:spacing w:before="0" w:after="0"/>
    </w:pPr>
    <w:r>
      <w:drawing>
        <wp:inline distT="0" distB="0" distL="0" distR="0">
          <wp:extent cx="1257300" cy="381000"/>
          <wp:docPr id="1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57300" cy="381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b/>
        <w:bCs/>
        <w:color w:val="A41B24"/>
        <w:sz w:val="15"/>
        <w:szCs w:val="15"/>
      </w:rPr>
      <w:t xml:space="preserve">FICHA DE PRODUCTO</w:t>
    </w:r>
  </w:p>
</w:hdr>
</file>

<file path=word/settings.xml><?xml version="1.0" encoding="utf-8"?>
<w:settings xmlns:w="http://schemas.openxmlformats.org/wordprocessingml/2006/main">
  <w:defaultTabStop w:val="708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333333"/>
        <w:sz w:val="19"/>
        <w:szCs w:val="19"/>
        <w:lang w:val="es-ES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header" Target="header1.xml"/><Relationship Id="rId2" Type="http://schemas.openxmlformats.org/officeDocument/2006/relationships/footer" Target="footer1.xml"/><Relationship Id="rId4" Type="http://schemas.openxmlformats.org/officeDocument/2006/relationships/styles" Target="styles.xml"/><Relationship Id="rId5" Type="http://schemas.openxmlformats.org/officeDocument/2006/relationships/settings" Target="settings.xml"/><Relationship Id="rId3" Type="http://schemas.openxmlformats.org/officeDocument/2006/relationships/image" Target="media/producto.jpg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eaci-footer.png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eaci-logo.png"/></Relationships>
</file>